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3BFF" w:rsidRPr="00756CC8" w:rsidRDefault="00756CC8" w:rsidP="00756CC8">
      <w:pPr>
        <w:jc w:val="center"/>
        <w:rPr>
          <w:u w:val="single"/>
        </w:rPr>
      </w:pPr>
      <w:r w:rsidRPr="00756CC8">
        <w:rPr>
          <w:b/>
          <w:noProof/>
          <w:sz w:val="34"/>
          <w:u w:val="single"/>
        </w:rPr>
        <w:drawing>
          <wp:anchor distT="0" distB="0" distL="114300" distR="114300" simplePos="0" relativeHeight="251658240" behindDoc="1" locked="0" layoutInCell="1" allowOverlap="1" wp14:anchorId="4633E07F">
            <wp:simplePos x="0" y="0"/>
            <wp:positionH relativeFrom="margin">
              <wp:align>left</wp:align>
            </wp:positionH>
            <wp:positionV relativeFrom="paragraph">
              <wp:posOffset>-240</wp:posOffset>
            </wp:positionV>
            <wp:extent cx="1709420" cy="577215"/>
            <wp:effectExtent l="0" t="0" r="5080" b="0"/>
            <wp:wrapTight wrapText="bothSides">
              <wp:wrapPolygon edited="0">
                <wp:start x="11073" y="0"/>
                <wp:lineTo x="6981" y="5703"/>
                <wp:lineTo x="4574" y="9267"/>
                <wp:lineTo x="0" y="11406"/>
                <wp:lineTo x="0" y="18535"/>
                <wp:lineTo x="4333" y="20673"/>
                <wp:lineTo x="17091" y="20673"/>
                <wp:lineTo x="21423" y="18535"/>
                <wp:lineTo x="21423" y="11406"/>
                <wp:lineTo x="14924" y="9980"/>
                <wp:lineTo x="15646" y="4990"/>
                <wp:lineTo x="12758" y="0"/>
                <wp:lineTo x="11073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788" cy="5858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56CC8">
        <w:rPr>
          <w:b/>
          <w:sz w:val="34"/>
          <w:u w:val="single"/>
        </w:rPr>
        <w:t>Reading Action Plan 2026–2027</w:t>
      </w:r>
    </w:p>
    <w:p w:rsidR="00756CC8" w:rsidRDefault="00756CC8">
      <w:pPr>
        <w:rPr>
          <w:b/>
        </w:rPr>
      </w:pPr>
    </w:p>
    <w:p w:rsidR="00756CC8" w:rsidRDefault="00756CC8">
      <w:pPr>
        <w:rPr>
          <w:b/>
        </w:rPr>
      </w:pPr>
      <w:bookmarkStart w:id="0" w:name="_GoBack"/>
      <w:bookmarkEnd w:id="0"/>
    </w:p>
    <w:p w:rsidR="00343BFF" w:rsidRPr="00756CC8" w:rsidRDefault="00756CC8">
      <w:pPr>
        <w:rPr>
          <w:u w:val="single"/>
        </w:rPr>
      </w:pPr>
      <w:r w:rsidRPr="00756CC8">
        <w:rPr>
          <w:b/>
          <w:u w:val="single"/>
        </w:rPr>
        <w:t>Subject Context</w:t>
      </w:r>
    </w:p>
    <w:p w:rsidR="00343BFF" w:rsidRDefault="00756CC8">
      <w:r>
        <w:t xml:space="preserve">At Sandford St. Martin’s, reading is central to our curriculum. Floppy’s Phonics provides a systematic foundation in early decoding, while our research-informed reading approach develops fluency, vocabulary, </w:t>
      </w:r>
      <w:r>
        <w:t>comprehension and reading for pleasure. This year, priorities include strengthening fluent reading from Year 2 onwards, increasing reading beyond school, refreshing reading books, expanding volunteer support and responding precisely to assessment informati</w:t>
      </w:r>
      <w:r>
        <w:t>on so that all pupils, particularly lower-attaining readers, make progress.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87"/>
        <w:gridCol w:w="5639"/>
        <w:gridCol w:w="1611"/>
        <w:gridCol w:w="1496"/>
        <w:gridCol w:w="1788"/>
        <w:gridCol w:w="2519"/>
      </w:tblGrid>
      <w:tr w:rsidR="00343BFF">
        <w:trPr>
          <w:jc w:val="center"/>
        </w:trPr>
        <w:tc>
          <w:tcPr>
            <w:tcW w:w="2304" w:type="dxa"/>
          </w:tcPr>
          <w:p w:rsidR="00343BFF" w:rsidRDefault="00756CC8">
            <w:pPr>
              <w:spacing w:after="40"/>
            </w:pPr>
            <w:r>
              <w:rPr>
                <w:b/>
                <w:sz w:val="16"/>
              </w:rPr>
              <w:t>Priority</w:t>
            </w:r>
          </w:p>
        </w:tc>
        <w:tc>
          <w:tcPr>
            <w:tcW w:w="6048" w:type="dxa"/>
          </w:tcPr>
          <w:p w:rsidR="00343BFF" w:rsidRDefault="00756CC8">
            <w:pPr>
              <w:spacing w:after="40"/>
            </w:pPr>
            <w:r>
              <w:rPr>
                <w:b/>
                <w:sz w:val="16"/>
              </w:rPr>
              <w:t>Action</w:t>
            </w:r>
          </w:p>
        </w:tc>
        <w:tc>
          <w:tcPr>
            <w:tcW w:w="1656" w:type="dxa"/>
          </w:tcPr>
          <w:p w:rsidR="00343BFF" w:rsidRDefault="00756CC8">
            <w:pPr>
              <w:spacing w:after="40"/>
            </w:pPr>
            <w:r>
              <w:rPr>
                <w:b/>
                <w:sz w:val="16"/>
              </w:rPr>
              <w:t>Lead</w:t>
            </w:r>
          </w:p>
        </w:tc>
        <w:tc>
          <w:tcPr>
            <w:tcW w:w="1512" w:type="dxa"/>
          </w:tcPr>
          <w:p w:rsidR="00343BFF" w:rsidRDefault="00756CC8">
            <w:pPr>
              <w:spacing w:after="40"/>
            </w:pPr>
            <w:r>
              <w:rPr>
                <w:b/>
                <w:sz w:val="16"/>
              </w:rPr>
              <w:t>Timescale</w:t>
            </w:r>
          </w:p>
        </w:tc>
        <w:tc>
          <w:tcPr>
            <w:tcW w:w="1800" w:type="dxa"/>
          </w:tcPr>
          <w:p w:rsidR="00343BFF" w:rsidRDefault="00756CC8">
            <w:pPr>
              <w:spacing w:after="40"/>
            </w:pPr>
            <w:r>
              <w:rPr>
                <w:b/>
                <w:sz w:val="16"/>
              </w:rPr>
              <w:t>Resources</w:t>
            </w:r>
          </w:p>
        </w:tc>
        <w:tc>
          <w:tcPr>
            <w:tcW w:w="2664" w:type="dxa"/>
          </w:tcPr>
          <w:p w:rsidR="00343BFF" w:rsidRDefault="00756CC8">
            <w:pPr>
              <w:spacing w:after="40"/>
            </w:pPr>
            <w:r>
              <w:rPr>
                <w:b/>
                <w:sz w:val="16"/>
              </w:rPr>
              <w:t>Success Measures</w:t>
            </w:r>
          </w:p>
        </w:tc>
      </w:tr>
      <w:tr w:rsidR="00343BFF">
        <w:trPr>
          <w:jc w:val="center"/>
        </w:trPr>
        <w:tc>
          <w:tcPr>
            <w:tcW w:w="2304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Improve reading fluency across the school, particularly from Year 2 upwards.</w:t>
            </w:r>
          </w:p>
        </w:tc>
        <w:tc>
          <w:tcPr>
            <w:tcW w:w="6048" w:type="dxa"/>
          </w:tcPr>
          <w:p w:rsidR="00343BFF" w:rsidRDefault="00343BFF">
            <w:pPr>
              <w:spacing w:after="40"/>
            </w:pP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t>Establish baseline fluency using the FFT Re</w:t>
            </w:r>
            <w:r>
              <w:rPr>
                <w:sz w:val="16"/>
              </w:rPr>
              <w:t>ading Fluency assessment and tracking tool.</w:t>
            </w: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t>Support consistent use of fluency read, extended read and close read lesson structures, matched to pupils’ needs.</w:t>
            </w: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t>Share modelling, echo reading, paired reading and repeated reading strategies with staff.</w:t>
            </w: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t>Review a</w:t>
            </w:r>
            <w:r>
              <w:rPr>
                <w:sz w:val="16"/>
              </w:rPr>
              <w:t>ssessment information termly and monitor practice through learning walks and pupil voice.</w:t>
            </w:r>
          </w:p>
        </w:tc>
        <w:tc>
          <w:tcPr>
            <w:tcW w:w="1656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Reading Lead; Class teachers; SLT</w:t>
            </w:r>
          </w:p>
        </w:tc>
        <w:tc>
          <w:tcPr>
            <w:tcW w:w="1512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Autumn – Spring – Summer</w:t>
            </w:r>
          </w:p>
        </w:tc>
        <w:tc>
          <w:tcPr>
            <w:tcW w:w="1800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FFT assessment/tracking tool; staff meeting time; reading progression and lesson guidance</w:t>
            </w:r>
          </w:p>
        </w:tc>
        <w:tc>
          <w:tcPr>
            <w:tcW w:w="2664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 xml:space="preserve">FFT tracking </w:t>
            </w:r>
            <w:r>
              <w:rPr>
                <w:sz w:val="16"/>
              </w:rPr>
              <w:t>demonstrates improved accuracy and fluency from baseline; lesson monitoring shows consistent, purposeful use of reading structures.</w:t>
            </w:r>
          </w:p>
        </w:tc>
      </w:tr>
      <w:tr w:rsidR="00343BFF">
        <w:trPr>
          <w:jc w:val="center"/>
        </w:trPr>
        <w:tc>
          <w:tcPr>
            <w:tcW w:w="2304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Increase and sustain reading outside school and foster reading for pleasure.</w:t>
            </w:r>
          </w:p>
        </w:tc>
        <w:tc>
          <w:tcPr>
            <w:tcW w:w="6048" w:type="dxa"/>
          </w:tcPr>
          <w:p w:rsidR="00343BFF" w:rsidRDefault="00343BFF">
            <w:pPr>
              <w:spacing w:after="40"/>
            </w:pP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t>Review home-reading records and identify patt</w:t>
            </w:r>
            <w:r>
              <w:rPr>
                <w:sz w:val="16"/>
              </w:rPr>
              <w:t>erns in frequency and engagement.</w:t>
            </w: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t>Run reading challenges and competitions, celebrating participation and enjoyment rather than only volume.</w:t>
            </w: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t>Use assemblies, class recommendations, Reading Ambassadors and parent communications to promote a wide reading diet.</w:t>
            </w: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t>Seek pupil and parent feedback and adapt incentives to engage reluctant readers.</w:t>
            </w:r>
          </w:p>
        </w:tc>
        <w:tc>
          <w:tcPr>
            <w:tcW w:w="1656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Reading Lead; Class teachers; Reading Ambassadors</w:t>
            </w:r>
          </w:p>
        </w:tc>
        <w:tc>
          <w:tcPr>
            <w:tcW w:w="1512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Autumn – Spring – Summer</w:t>
            </w:r>
          </w:p>
        </w:tc>
        <w:tc>
          <w:tcPr>
            <w:tcW w:w="1800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Reading records; challenge materials; assemblies; school communication channels</w:t>
            </w:r>
          </w:p>
        </w:tc>
        <w:tc>
          <w:tcPr>
            <w:tcW w:w="2664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Increased or sustai</w:t>
            </w:r>
            <w:r>
              <w:rPr>
                <w:sz w:val="16"/>
              </w:rPr>
              <w:t>ned home-reading participation against autumn baseline; pupil voice reflects positive attitudes to reading and greater engagement among reluctant readers.</w:t>
            </w:r>
          </w:p>
        </w:tc>
      </w:tr>
      <w:tr w:rsidR="00343BFF">
        <w:trPr>
          <w:jc w:val="center"/>
        </w:trPr>
        <w:tc>
          <w:tcPr>
            <w:tcW w:w="2304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Refresh book-banded reading books across EYFS, KS1 and lower KS2.</w:t>
            </w:r>
          </w:p>
        </w:tc>
        <w:tc>
          <w:tcPr>
            <w:tcW w:w="6048" w:type="dxa"/>
          </w:tcPr>
          <w:p w:rsidR="00343BFF" w:rsidRDefault="00343BFF">
            <w:pPr>
              <w:spacing w:after="40"/>
            </w:pP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t>Audit condition, quantity, divers</w:t>
            </w:r>
            <w:r>
              <w:rPr>
                <w:sz w:val="16"/>
              </w:rPr>
              <w:t>ity and suitability of current book-banded stock.</w:t>
            </w: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t>Prioritise gaps and agree purchasing needs within available budget.</w:t>
            </w: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t>Purchase and organise replacement titles, ensuring phonically decodable books remain matched to taught phonics for pupils still learning t</w:t>
            </w:r>
            <w:r>
              <w:rPr>
                <w:sz w:val="16"/>
              </w:rPr>
              <w:t>o decode.</w:t>
            </w: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t>Gather staff and pupil feedback on accessibility and appeal of the refreshed stock.</w:t>
            </w:r>
          </w:p>
        </w:tc>
        <w:tc>
          <w:tcPr>
            <w:tcW w:w="1656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Reading Lead; EYFS/KS1 leads; SLT</w:t>
            </w:r>
          </w:p>
        </w:tc>
        <w:tc>
          <w:tcPr>
            <w:tcW w:w="1512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Autumn audit; Spring purchasing; Summer review</w:t>
            </w:r>
          </w:p>
        </w:tc>
        <w:tc>
          <w:tcPr>
            <w:tcW w:w="1800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Book budget; supplier catalogues; stock audit time</w:t>
            </w:r>
          </w:p>
        </w:tc>
        <w:tc>
          <w:tcPr>
            <w:tcW w:w="2664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 xml:space="preserve">Updated and organised book </w:t>
            </w:r>
            <w:r>
              <w:rPr>
                <w:sz w:val="16"/>
              </w:rPr>
              <w:t>stock available across identified phases; teachers report improved choice and appropriate match to reading needs.</w:t>
            </w:r>
          </w:p>
        </w:tc>
      </w:tr>
      <w:tr w:rsidR="00343BFF">
        <w:trPr>
          <w:jc w:val="center"/>
        </w:trPr>
        <w:tc>
          <w:tcPr>
            <w:tcW w:w="2304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Develop a sustainable team of reading volunteers across the school.</w:t>
            </w:r>
          </w:p>
        </w:tc>
        <w:tc>
          <w:tcPr>
            <w:tcW w:w="6048" w:type="dxa"/>
          </w:tcPr>
          <w:p w:rsidR="00343BFF" w:rsidRDefault="00343BFF">
            <w:pPr>
              <w:spacing w:after="40"/>
            </w:pP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t>Audit current volunteer provision and identify year-group gaps.</w:t>
            </w: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t xml:space="preserve">Recruit </w:t>
            </w:r>
            <w:r>
              <w:rPr>
                <w:sz w:val="16"/>
              </w:rPr>
              <w:t>volunteers through school communications and the wider community, aiming for at least two per year group.</w:t>
            </w: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t>Coordinate required safeguarding checks, induction and clear guidance on supporting reading.</w:t>
            </w: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lastRenderedPageBreak/>
              <w:t>Set up regular timetables and review attendance, deployme</w:t>
            </w:r>
            <w:r>
              <w:rPr>
                <w:sz w:val="16"/>
              </w:rPr>
              <w:t>nt and impact with staff.</w:t>
            </w:r>
          </w:p>
        </w:tc>
        <w:tc>
          <w:tcPr>
            <w:tcW w:w="1656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lastRenderedPageBreak/>
              <w:t>Reading Lead; Office team; Class teachers; DSL</w:t>
            </w:r>
          </w:p>
        </w:tc>
        <w:tc>
          <w:tcPr>
            <w:tcW w:w="1512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Autumn recruitment; Spring implementation; Summer review</w:t>
            </w:r>
          </w:p>
        </w:tc>
        <w:tc>
          <w:tcPr>
            <w:tcW w:w="1800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Volunteer recruitment communications; induction guidance; staff coordination time</w:t>
            </w:r>
          </w:p>
        </w:tc>
        <w:tc>
          <w:tcPr>
            <w:tcW w:w="2664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At least two appropriately checked and induc</w:t>
            </w:r>
            <w:r>
              <w:rPr>
                <w:sz w:val="16"/>
              </w:rPr>
              <w:t>ted reading volunteers allocated to each year group; regular sessions support identified pupils.</w:t>
            </w:r>
          </w:p>
        </w:tc>
      </w:tr>
      <w:tr w:rsidR="00343BFF">
        <w:trPr>
          <w:jc w:val="center"/>
        </w:trPr>
        <w:tc>
          <w:tcPr>
            <w:tcW w:w="2304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Improve outcomes for lower-attaining readers through assessment-led support.</w:t>
            </w:r>
          </w:p>
        </w:tc>
        <w:tc>
          <w:tcPr>
            <w:tcW w:w="6048" w:type="dxa"/>
          </w:tcPr>
          <w:p w:rsidR="00343BFF" w:rsidRDefault="00343BFF">
            <w:pPr>
              <w:spacing w:after="40"/>
            </w:pP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t>Analyse Testbase reading assessments to identify lower-attaining pupils and comm</w:t>
            </w:r>
            <w:r>
              <w:rPr>
                <w:sz w:val="16"/>
              </w:rPr>
              <w:t>on gaps in comprehension.</w:t>
            </w: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t>Cross-reference assessment findings with decoding and fluency information to identify underlying barriers.</w:t>
            </w: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t>Plan focused teaching or intervention matched to identified needs, including vocabulary, retrieval, inference or fluency as</w:t>
            </w:r>
            <w:r>
              <w:rPr>
                <w:sz w:val="16"/>
              </w:rPr>
              <w:t xml:space="preserve"> appropriate.</w:t>
            </w:r>
          </w:p>
          <w:p w:rsidR="00343BFF" w:rsidRDefault="00756CC8">
            <w:pPr>
              <w:pStyle w:val="ListBullet"/>
              <w:spacing w:after="40"/>
            </w:pPr>
            <w:r>
              <w:rPr>
                <w:sz w:val="16"/>
              </w:rPr>
              <w:t>Review progress after subsequent assessments and adapt provision; report patterns to SLT.</w:t>
            </w:r>
          </w:p>
        </w:tc>
        <w:tc>
          <w:tcPr>
            <w:tcW w:w="1656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Reading Lead; Class teachers; SENDCO; SLT</w:t>
            </w:r>
          </w:p>
        </w:tc>
        <w:tc>
          <w:tcPr>
            <w:tcW w:w="1512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Autumn identification; Spring – Summer review</w:t>
            </w:r>
          </w:p>
        </w:tc>
        <w:tc>
          <w:tcPr>
            <w:tcW w:w="1800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 xml:space="preserve">Testbase assessments; assessment analysis time; intervention </w:t>
            </w:r>
            <w:r>
              <w:rPr>
                <w:sz w:val="16"/>
              </w:rPr>
              <w:t>staffing</w:t>
            </w:r>
          </w:p>
        </w:tc>
        <w:tc>
          <w:tcPr>
            <w:tcW w:w="2664" w:type="dxa"/>
          </w:tcPr>
          <w:p w:rsidR="00343BFF" w:rsidRDefault="00756CC8">
            <w:pPr>
              <w:spacing w:after="40"/>
            </w:pPr>
            <w:r>
              <w:rPr>
                <w:sz w:val="16"/>
              </w:rPr>
              <w:t>Target pupils show progress from baseline in relevant reading measures; subsequent Testbase analysis shows reduced gaps and teaching responds to identified needs.</w:t>
            </w:r>
          </w:p>
        </w:tc>
      </w:tr>
    </w:tbl>
    <w:p w:rsidR="00343BFF" w:rsidRDefault="00756CC8">
      <w:r>
        <w:rPr>
          <w:b/>
        </w:rPr>
        <w:t>End of Year Evaluation</w:t>
      </w:r>
    </w:p>
    <w:p w:rsidR="00343BFF" w:rsidRDefault="00756CC8">
      <w:r>
        <w:rPr>
          <w:b/>
        </w:rPr>
        <w:t>Impact on pupils:</w:t>
      </w:r>
      <w:r>
        <w:t xml:space="preserve">  _________________________________________</w:t>
      </w:r>
      <w:r>
        <w:t>_____________________</w:t>
      </w:r>
    </w:p>
    <w:p w:rsidR="00343BFF" w:rsidRDefault="00756CC8">
      <w:r>
        <w:rPr>
          <w:b/>
        </w:rPr>
        <w:t>Impact on staff:</w:t>
      </w:r>
      <w:r>
        <w:t xml:space="preserve">  ______________________________________________________________</w:t>
      </w:r>
    </w:p>
    <w:p w:rsidR="00343BFF" w:rsidRDefault="00756CC8">
      <w:r>
        <w:rPr>
          <w:b/>
        </w:rPr>
        <w:t>Overall evaluation:</w:t>
      </w:r>
      <w:r>
        <w:t xml:space="preserve">  ______________________________________________________________</w:t>
      </w:r>
    </w:p>
    <w:sectPr w:rsidR="00343BFF" w:rsidSect="00034616">
      <w:pgSz w:w="16834" w:h="11909"/>
      <w:pgMar w:top="792" w:right="792" w:bottom="792" w:left="7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43BFF"/>
    <w:rsid w:val="004C6EEC"/>
    <w:rsid w:val="00756CC8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CF82CC"/>
  <w14:defaultImageDpi w14:val="300"/>
  <w15:docId w15:val="{82DB35F0-1DAE-41E2-8F59-841130CC7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0545D83-C8EE-403B-9136-7BADA103A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Phillip Dean</cp:lastModifiedBy>
  <cp:revision>3</cp:revision>
  <dcterms:created xsi:type="dcterms:W3CDTF">2026-10-30T11:07:00Z</dcterms:created>
  <dcterms:modified xsi:type="dcterms:W3CDTF">2026-10-30T11:08:00Z</dcterms:modified>
  <cp:category/>
</cp:coreProperties>
</file>